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54697" w:rsidP="004110F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110FF">
              <w:t>27</w:t>
            </w:r>
            <w:r w:rsidR="00EE7BD8">
              <w:t>.02</w:t>
            </w:r>
            <w:r w:rsidR="00AC7144">
              <w:rPr>
                <w:noProof/>
              </w:rPr>
              <w:t>.2017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54697" w:rsidP="0025229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52299">
              <w:t>10/2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154697" w:rsidP="00530EB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EE7BD8">
              <w:t>О</w:t>
            </w:r>
            <w:r w:rsidR="00EE7BD8" w:rsidRPr="00EE7BD8">
              <w:t xml:space="preserve">б установлении </w:t>
            </w:r>
            <w:r w:rsidR="00530EBF" w:rsidRPr="00530EBF">
              <w:t>МУНИЦИПАЛЬН</w:t>
            </w:r>
            <w:r w:rsidR="00530EBF">
              <w:t>ОМУ</w:t>
            </w:r>
            <w:r w:rsidR="00530EBF" w:rsidRPr="00530EBF">
              <w:t xml:space="preserve"> УНИТАРН</w:t>
            </w:r>
            <w:r w:rsidR="00530EBF">
              <w:t>ОМУ</w:t>
            </w:r>
            <w:r w:rsidR="00530EBF" w:rsidRPr="00530EBF">
              <w:t xml:space="preserve"> ПРЕДПРИЯТИ</w:t>
            </w:r>
            <w:r w:rsidR="00530EBF">
              <w:t>Ю</w:t>
            </w:r>
            <w:r w:rsidR="00530EBF" w:rsidRPr="00530EBF">
              <w:t xml:space="preserve"> «КОНЕВО» МУНИЦИПАЛЬНОГО ОБРАЗОВАНИЯ «КОНЕВСКИЙ СЕЛЬСОВЕТ»</w:t>
            </w:r>
            <w:r w:rsidR="00530EBF">
              <w:t xml:space="preserve"> БАЛАХНИНСКОГО РАЙОНА НИЖЕГОРОДСКОЙ ОБЛАСТИ,</w:t>
            </w:r>
            <w:r w:rsidR="00530EBF" w:rsidRPr="00530EBF">
              <w:t xml:space="preserve"> д. Конево Балахнинского муниципального района Нижегородской области</w:t>
            </w:r>
            <w:r w:rsidR="00EE7BD8" w:rsidRPr="00EE7BD8">
              <w:t xml:space="preserve">, тарифов на тепловую энергию (мощность), поставляемую потребителям </w:t>
            </w:r>
            <w:r w:rsidR="00530EBF">
              <w:t>Коневского сельсовета</w:t>
            </w:r>
            <w:r w:rsidR="00EE7BD8">
              <w:t xml:space="preserve"> </w:t>
            </w:r>
            <w:r w:rsidR="00530EBF">
              <w:t>Балахнинского муниципального района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EE7BD8" w:rsidP="00EE7BD8">
      <w:pPr>
        <w:tabs>
          <w:tab w:val="left" w:pos="1897"/>
        </w:tabs>
        <w:spacing w:line="276" w:lineRule="auto"/>
        <w:jc w:val="center"/>
        <w:rPr>
          <w:szCs w:val="28"/>
        </w:rPr>
      </w:pPr>
      <w:r>
        <w:rPr>
          <w:szCs w:val="28"/>
        </w:rPr>
        <w:t>Нижегородской области</w:t>
      </w:r>
    </w:p>
    <w:p w:rsidR="00EE7BD8" w:rsidRDefault="00EE7BD8" w:rsidP="00EE7BD8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C7144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252299" w:rsidRPr="00AB67CD" w:rsidRDefault="00252299" w:rsidP="00AB67CD">
      <w:pPr>
        <w:tabs>
          <w:tab w:val="left" w:pos="1897"/>
        </w:tabs>
        <w:spacing w:line="276" w:lineRule="auto"/>
        <w:rPr>
          <w:szCs w:val="28"/>
        </w:rPr>
      </w:pPr>
    </w:p>
    <w:p w:rsidR="00EE7BD8" w:rsidRPr="00C66A7C" w:rsidRDefault="00EE7BD8" w:rsidP="00EE7BD8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C66A7C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530EBF">
        <w:rPr>
          <w:szCs w:val="28"/>
        </w:rPr>
        <w:t>МУНИЦИПАЛЬНЫМ УНИТАРНЫМ ПРЕДПРИЯТИЕМ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</w:r>
      <w:r w:rsidRPr="00F020D5">
        <w:rPr>
          <w:szCs w:val="28"/>
        </w:rPr>
        <w:t>,</w:t>
      </w:r>
      <w:r w:rsidR="00530EBF">
        <w:rPr>
          <w:szCs w:val="28"/>
        </w:rPr>
        <w:t xml:space="preserve"> </w:t>
      </w:r>
      <w:r w:rsidRPr="00C66A7C">
        <w:rPr>
          <w:szCs w:val="28"/>
        </w:rPr>
        <w:t xml:space="preserve">экспертного заключения </w:t>
      </w:r>
      <w:proofErr w:type="spellStart"/>
      <w:r w:rsidRPr="00C66A7C">
        <w:rPr>
          <w:szCs w:val="28"/>
        </w:rPr>
        <w:t>рег</w:t>
      </w:r>
      <w:proofErr w:type="spellEnd"/>
      <w:r w:rsidRPr="00C66A7C">
        <w:rPr>
          <w:szCs w:val="28"/>
        </w:rPr>
        <w:t>. № в-</w:t>
      </w:r>
      <w:r w:rsidR="00A63E0C">
        <w:rPr>
          <w:szCs w:val="28"/>
        </w:rPr>
        <w:t>46</w:t>
      </w:r>
      <w:proofErr w:type="gramEnd"/>
      <w:r w:rsidR="00530EBF">
        <w:rPr>
          <w:szCs w:val="28"/>
        </w:rPr>
        <w:t xml:space="preserve"> от </w:t>
      </w:r>
      <w:r w:rsidR="00A63E0C">
        <w:rPr>
          <w:szCs w:val="28"/>
        </w:rPr>
        <w:t xml:space="preserve">15 </w:t>
      </w:r>
      <w:r>
        <w:rPr>
          <w:szCs w:val="28"/>
        </w:rPr>
        <w:t>февраля</w:t>
      </w:r>
      <w:r w:rsidRPr="00C66A7C">
        <w:rPr>
          <w:szCs w:val="28"/>
        </w:rPr>
        <w:t xml:space="preserve"> 2017 года:</w:t>
      </w:r>
    </w:p>
    <w:p w:rsidR="00EE7BD8" w:rsidRPr="007C7BCD" w:rsidRDefault="00EE7BD8" w:rsidP="00EE7BD8">
      <w:pPr>
        <w:pStyle w:val="ac"/>
        <w:spacing w:line="276" w:lineRule="auto"/>
        <w:ind w:firstLine="720"/>
      </w:pPr>
      <w:r w:rsidRPr="00F020D5">
        <w:rPr>
          <w:b/>
        </w:rPr>
        <w:t>1.</w:t>
      </w:r>
      <w:r w:rsidRPr="00F020D5">
        <w:t xml:space="preserve"> Установить </w:t>
      </w:r>
      <w:r w:rsidR="00530EBF">
        <w:t>МУНИЦИПАЛЬНОМУ УНИТАРНОМУ ПРЕДПРИЯТИЮ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</w:r>
      <w:r w:rsidRPr="007C7BCD">
        <w:t xml:space="preserve">, тарифы на тепловую энергию (мощность), поставляемую потребителям </w:t>
      </w:r>
      <w:proofErr w:type="spellStart"/>
      <w:r w:rsidR="00530EBF">
        <w:t>Коневского</w:t>
      </w:r>
      <w:proofErr w:type="spellEnd"/>
      <w:r w:rsidR="00530EBF">
        <w:t xml:space="preserve"> сельсовета Балахнинского</w:t>
      </w:r>
      <w:r w:rsidRPr="007C7BCD">
        <w:t xml:space="preserve"> муниципального района Нижегородской области,  согласно Приложению.</w:t>
      </w:r>
    </w:p>
    <w:p w:rsidR="00530EBF" w:rsidRPr="00DF4C76" w:rsidRDefault="00EE7BD8" w:rsidP="00530EBF">
      <w:pPr>
        <w:pStyle w:val="ac"/>
        <w:spacing w:line="276" w:lineRule="auto"/>
        <w:ind w:firstLine="708"/>
      </w:pPr>
      <w:r w:rsidRPr="007C7BCD">
        <w:rPr>
          <w:b/>
        </w:rPr>
        <w:t>2.</w:t>
      </w:r>
      <w:r w:rsidRPr="007C7BCD">
        <w:t xml:space="preserve"> </w:t>
      </w:r>
      <w:r w:rsidR="00530EBF">
        <w:t xml:space="preserve">МУНИЦИПАЛЬНОЕ УНИТАРНОЕ ПРЕДПРИЯТИЕ «КОНЕВО» МУНИЦИПАЛЬНОГО ОБРАЗОВАНИЯ «КОНЕВСКИЙ СЕЛЬСОВЕТ» </w:t>
      </w:r>
      <w:r w:rsidR="00530EBF">
        <w:lastRenderedPageBreak/>
        <w:t>БАЛАХНИНСКОГО РАЙОНА НИЖЕГОРОДСКОЙ ОБЛАСТИ, д. Конево Балахнинского муниципального района Нижегородской области</w:t>
      </w:r>
      <w:r w:rsidR="007C7BCD" w:rsidRPr="007C7BCD">
        <w:t xml:space="preserve">, </w:t>
      </w:r>
      <w:r w:rsidR="00530EBF" w:rsidRPr="00DF4C76">
        <w:t xml:space="preserve">применяет упрощенную систему налогообложения и не является плательщиком НДС в соответствии со </w:t>
      </w:r>
      <w:hyperlink r:id="rId10" w:history="1">
        <w:r w:rsidR="00530EBF" w:rsidRPr="00DF4C76">
          <w:rPr>
            <w:rStyle w:val="a7"/>
            <w:rFonts w:eastAsiaTheme="majorEastAsia"/>
            <w:iCs/>
          </w:rPr>
          <w:t xml:space="preserve">ст. </w:t>
        </w:r>
        <w:r w:rsidR="00530EBF" w:rsidRPr="00DF4C76">
          <w:rPr>
            <w:rStyle w:val="a7"/>
            <w:rFonts w:eastAsiaTheme="majorEastAsia"/>
          </w:rPr>
          <w:t>346</w:t>
        </w:r>
        <w:r w:rsidR="00530EBF" w:rsidRPr="00DF4C76">
          <w:rPr>
            <w:rStyle w:val="a7"/>
            <w:rFonts w:eastAsiaTheme="majorEastAsia"/>
            <w:vertAlign w:val="superscript"/>
          </w:rPr>
          <w:t>11</w:t>
        </w:r>
        <w:r w:rsidR="00530EBF" w:rsidRPr="00DF4C76">
          <w:rPr>
            <w:rStyle w:val="a7"/>
            <w:rFonts w:eastAsiaTheme="majorEastAsia"/>
          </w:rPr>
          <w:t xml:space="preserve"> главы 26</w:t>
        </w:r>
        <w:r w:rsidR="00530EBF" w:rsidRPr="00DF4C76">
          <w:rPr>
            <w:rStyle w:val="a7"/>
            <w:rFonts w:eastAsiaTheme="majorEastAsia"/>
            <w:vertAlign w:val="superscript"/>
          </w:rPr>
          <w:t>2</w:t>
        </w:r>
        <w:r w:rsidR="00530EBF" w:rsidRPr="00DF4C76">
          <w:rPr>
            <w:rStyle w:val="a7"/>
            <w:rFonts w:eastAsiaTheme="majorEastAsia"/>
          </w:rPr>
          <w:t xml:space="preserve"> </w:t>
        </w:r>
      </w:hyperlink>
      <w:r w:rsidR="00530EBF" w:rsidRPr="00DF4C76">
        <w:t>Налогового кодекса Российской Федерации.</w:t>
      </w:r>
    </w:p>
    <w:p w:rsidR="00EE7BD8" w:rsidRPr="007C7BCD" w:rsidRDefault="00EE7BD8" w:rsidP="00EE7BD8">
      <w:pPr>
        <w:pStyle w:val="ac"/>
        <w:spacing w:line="276" w:lineRule="auto"/>
        <w:ind w:firstLine="708"/>
      </w:pPr>
      <w:r w:rsidRPr="007C7BCD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91CB4" w:rsidRPr="00991CB4" w:rsidRDefault="00EE7BD8" w:rsidP="00991CB4">
      <w:pPr>
        <w:pStyle w:val="ac"/>
        <w:spacing w:line="276" w:lineRule="auto"/>
        <w:ind w:firstLine="720"/>
        <w:rPr>
          <w:noProof/>
        </w:rPr>
      </w:pPr>
      <w:r w:rsidRPr="00991CB4">
        <w:rPr>
          <w:b/>
        </w:rPr>
        <w:t>3.</w:t>
      </w:r>
      <w:r w:rsidRPr="00991CB4">
        <w:t xml:space="preserve">  </w:t>
      </w:r>
      <w:proofErr w:type="gramStart"/>
      <w:r w:rsidR="00991CB4" w:rsidRPr="00991CB4">
        <w:t xml:space="preserve">В связи с тем, что </w:t>
      </w:r>
      <w:r w:rsidR="00991CB4" w:rsidRPr="00991CB4">
        <w:rPr>
          <w:noProof/>
        </w:rPr>
        <w:t xml:space="preserve">государственное регулирование в отношении вновь построенного объекта теплоснабжения (газовой котельной), эксплуатируемого  </w:t>
      </w:r>
      <w:r w:rsidR="00991CB4" w:rsidRPr="00991CB4">
        <w:t>МУНИЦИПАЛЬНЫМ УНИТАРНЫМ ПРЕДПРИЯТИЕМ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области, ранее не осуществлялось, и на основании пункта 7 Правил регулирования цен (тарифов) в сфере теплоснабжения, утвержденных постановлением Правительства Российской Федерации от 22 октября 2012 года</w:t>
      </w:r>
      <w:proofErr w:type="gramEnd"/>
      <w:r w:rsidR="00991CB4" w:rsidRPr="00991CB4">
        <w:t xml:space="preserve"> № 1075,</w:t>
      </w:r>
      <w:r w:rsidR="00991CB4" w:rsidRPr="00991CB4">
        <w:rPr>
          <w:noProof/>
        </w:rPr>
        <w:t xml:space="preserve"> т</w:t>
      </w:r>
      <w:r w:rsidR="00991CB4" w:rsidRPr="00991CB4">
        <w:t>арифы, установленные пунктом 1 настоящего решения, действуют с 1 марта по 31 декабря 2017 года включительно.</w:t>
      </w:r>
    </w:p>
    <w:p w:rsidR="00AC7144" w:rsidRPr="00AB67CD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AC7144" w:rsidRPr="00AB67CD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</w:p>
    <w:p w:rsid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92183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AC7144" w:rsidRP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AC7144" w:rsidTr="00575F74">
        <w:tc>
          <w:tcPr>
            <w:tcW w:w="3331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>ПРИЛОЖЕНИЕ</w:t>
            </w:r>
          </w:p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AC7144" w:rsidRDefault="00C2159C" w:rsidP="00EE7BD8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4110FF">
              <w:t>27</w:t>
            </w:r>
            <w:r w:rsidR="00EE7BD8">
              <w:t xml:space="preserve"> февраля</w:t>
            </w:r>
            <w:r w:rsidR="00AC7144">
              <w:t xml:space="preserve"> 2017 года № </w:t>
            </w:r>
            <w:r w:rsidR="00252299">
              <w:t>10/2</w:t>
            </w:r>
          </w:p>
        </w:tc>
      </w:tr>
    </w:tbl>
    <w:p w:rsidR="00EE7BD8" w:rsidRDefault="00EE7BD8" w:rsidP="00AC7144">
      <w:pPr>
        <w:tabs>
          <w:tab w:val="left" w:pos="1897"/>
        </w:tabs>
        <w:spacing w:line="276" w:lineRule="auto"/>
        <w:rPr>
          <w:sz w:val="20"/>
        </w:rPr>
      </w:pPr>
    </w:p>
    <w:p w:rsidR="00EE7BD8" w:rsidRPr="00EE7BD8" w:rsidRDefault="00EE7BD8" w:rsidP="00EE7BD8">
      <w:pPr>
        <w:rPr>
          <w:sz w:val="20"/>
        </w:rPr>
      </w:pPr>
    </w:p>
    <w:p w:rsidR="00EE7BD8" w:rsidRDefault="00EE7BD8" w:rsidP="00EE7BD8">
      <w:pPr>
        <w:rPr>
          <w:sz w:val="20"/>
        </w:rPr>
      </w:pPr>
    </w:p>
    <w:p w:rsidR="00EE7BD8" w:rsidRPr="00530EBF" w:rsidRDefault="00EE7BD8" w:rsidP="00EE7BD8">
      <w:pPr>
        <w:jc w:val="center"/>
        <w:rPr>
          <w:b/>
          <w:szCs w:val="28"/>
        </w:rPr>
      </w:pPr>
      <w:r>
        <w:rPr>
          <w:sz w:val="20"/>
        </w:rPr>
        <w:tab/>
      </w:r>
      <w:r w:rsidRPr="00F020D5">
        <w:rPr>
          <w:b/>
          <w:szCs w:val="28"/>
        </w:rPr>
        <w:t xml:space="preserve">Тарифы на тепловую энергию (мощность), поставляемую </w:t>
      </w:r>
      <w:r w:rsidR="00530EBF" w:rsidRPr="00530EBF">
        <w:rPr>
          <w:b/>
          <w:szCs w:val="28"/>
        </w:rPr>
        <w:t>МУНИЦИПАЛЬНЫМ УНИТАРНЫМ ПРЕДПРИЯТИЕМ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</w:r>
      <w:r w:rsidRPr="00530EBF">
        <w:rPr>
          <w:b/>
          <w:szCs w:val="28"/>
        </w:rPr>
        <w:t xml:space="preserve">, потребителям </w:t>
      </w:r>
      <w:proofErr w:type="spellStart"/>
      <w:r w:rsidR="00530EBF" w:rsidRPr="00530EBF">
        <w:rPr>
          <w:b/>
          <w:szCs w:val="28"/>
        </w:rPr>
        <w:t>Коневского</w:t>
      </w:r>
      <w:proofErr w:type="spellEnd"/>
      <w:r w:rsidR="00530EBF" w:rsidRPr="00530EBF">
        <w:rPr>
          <w:b/>
          <w:szCs w:val="28"/>
        </w:rPr>
        <w:t xml:space="preserve"> сельсовета Балахнинского</w:t>
      </w:r>
      <w:r w:rsidRPr="00530EBF">
        <w:rPr>
          <w:b/>
          <w:szCs w:val="28"/>
        </w:rPr>
        <w:t xml:space="preserve"> муниципального района Нижегородской области </w:t>
      </w:r>
    </w:p>
    <w:p w:rsidR="00EE7BD8" w:rsidRDefault="00EE7BD8" w:rsidP="00EE7BD8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020"/>
        <w:gridCol w:w="2015"/>
        <w:gridCol w:w="930"/>
        <w:gridCol w:w="1535"/>
        <w:gridCol w:w="1493"/>
      </w:tblGrid>
      <w:tr w:rsidR="00EE7BD8" w:rsidRPr="00321618" w:rsidTr="00EE7BD8">
        <w:tc>
          <w:tcPr>
            <w:tcW w:w="751" w:type="dxa"/>
            <w:vMerge w:val="restart"/>
          </w:tcPr>
          <w:p w:rsidR="00EE7BD8" w:rsidRPr="009D7FD4" w:rsidRDefault="00EE7BD8" w:rsidP="00EE7BD8">
            <w:pPr>
              <w:ind w:left="3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9D7FD4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9D7FD4">
              <w:rPr>
                <w:b/>
                <w:bCs/>
                <w:sz w:val="20"/>
              </w:rPr>
              <w:t>/</w:t>
            </w:r>
            <w:proofErr w:type="spellStart"/>
            <w:r w:rsidRPr="009D7FD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</w:tcPr>
          <w:p w:rsidR="00EE7BD8" w:rsidRPr="009D7FD4" w:rsidRDefault="00EE7BD8" w:rsidP="00EE7BD8">
            <w:pPr>
              <w:ind w:left="-90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15" w:type="dxa"/>
            <w:vMerge w:val="restart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30" w:type="dxa"/>
            <w:vMerge w:val="restart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Год</w:t>
            </w:r>
          </w:p>
        </w:tc>
        <w:tc>
          <w:tcPr>
            <w:tcW w:w="3028" w:type="dxa"/>
            <w:gridSpan w:val="2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Вода</w:t>
            </w:r>
          </w:p>
        </w:tc>
      </w:tr>
      <w:tr w:rsidR="00EE7BD8" w:rsidRPr="00321618" w:rsidTr="00EE7BD8">
        <w:tc>
          <w:tcPr>
            <w:tcW w:w="751" w:type="dxa"/>
            <w:vMerge/>
          </w:tcPr>
          <w:p w:rsidR="00EE7BD8" w:rsidRPr="009D7FD4" w:rsidRDefault="00EE7BD8" w:rsidP="00EE7BD8">
            <w:pPr>
              <w:ind w:left="3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0" w:type="dxa"/>
            <w:vMerge/>
          </w:tcPr>
          <w:p w:rsidR="00EE7BD8" w:rsidRPr="009D7FD4" w:rsidRDefault="00EE7BD8" w:rsidP="00EE7BD8">
            <w:pPr>
              <w:ind w:left="-9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5" w:type="dxa"/>
            <w:vMerge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0" w:type="dxa"/>
            <w:vMerge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5" w:type="dxa"/>
          </w:tcPr>
          <w:p w:rsidR="00EE7BD8" w:rsidRPr="009D7FD4" w:rsidRDefault="00EE7BD8" w:rsidP="007C7BCD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sz w:val="20"/>
              </w:rPr>
              <w:t xml:space="preserve">с 1 </w:t>
            </w:r>
            <w:r w:rsidR="007C7BCD">
              <w:rPr>
                <w:b/>
                <w:sz w:val="20"/>
              </w:rPr>
              <w:t>марта</w:t>
            </w:r>
            <w:r w:rsidRPr="009D7FD4">
              <w:rPr>
                <w:b/>
                <w:sz w:val="20"/>
              </w:rPr>
              <w:t xml:space="preserve"> по 30 июня </w:t>
            </w:r>
          </w:p>
        </w:tc>
        <w:tc>
          <w:tcPr>
            <w:tcW w:w="1493" w:type="dxa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sz w:val="20"/>
              </w:rPr>
              <w:t xml:space="preserve">с 1 июля по 31 декабря </w:t>
            </w:r>
          </w:p>
        </w:tc>
      </w:tr>
      <w:tr w:rsidR="00EE7BD8" w:rsidRPr="00321618" w:rsidTr="00EE7BD8">
        <w:tc>
          <w:tcPr>
            <w:tcW w:w="751" w:type="dxa"/>
          </w:tcPr>
          <w:p w:rsidR="00EE7BD8" w:rsidRPr="00321618" w:rsidRDefault="00EE7BD8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20" w:type="dxa"/>
            <w:vMerge w:val="restart"/>
          </w:tcPr>
          <w:p w:rsidR="00EE7BD8" w:rsidRPr="00530EBF" w:rsidRDefault="00530EBF" w:rsidP="004110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EBF">
              <w:rPr>
                <w:sz w:val="24"/>
                <w:szCs w:val="24"/>
              </w:rPr>
              <w:t>МУНИЦИПАЛЬНОЕ УНИТАРНОЕ ПРЕДПРИЯТИЕ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      </w:r>
          </w:p>
        </w:tc>
        <w:tc>
          <w:tcPr>
            <w:tcW w:w="5973" w:type="dxa"/>
            <w:gridSpan w:val="4"/>
          </w:tcPr>
          <w:p w:rsidR="00EE7BD8" w:rsidRPr="00321618" w:rsidRDefault="00EE7BD8" w:rsidP="00EE7BD8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321618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30EBF" w:rsidRPr="00321618" w:rsidTr="00530EBF">
        <w:tc>
          <w:tcPr>
            <w:tcW w:w="751" w:type="dxa"/>
          </w:tcPr>
          <w:p w:rsidR="00530EBF" w:rsidRPr="00321618" w:rsidRDefault="00530EBF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020" w:type="dxa"/>
            <w:vMerge/>
          </w:tcPr>
          <w:p w:rsidR="00530EBF" w:rsidRPr="00321618" w:rsidRDefault="00530EBF" w:rsidP="00EE7BD8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530EBF" w:rsidRPr="00321618" w:rsidRDefault="00530EBF" w:rsidP="00EE7BD8">
            <w:pPr>
              <w:pStyle w:val="ac"/>
              <w:ind w:left="-24" w:firstLine="24"/>
              <w:jc w:val="left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30" w:type="dxa"/>
          </w:tcPr>
          <w:p w:rsidR="00530EBF" w:rsidRPr="00321618" w:rsidRDefault="00530EBF" w:rsidP="00EE7BD8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530EBF" w:rsidRPr="00530EBF" w:rsidRDefault="00530EBF" w:rsidP="00530EB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0EBF">
              <w:rPr>
                <w:rFonts w:ascii="Times New Roman" w:hAnsi="Times New Roman" w:cs="Times New Roman"/>
                <w:sz w:val="23"/>
                <w:szCs w:val="23"/>
              </w:rPr>
              <w:t>2811,27</w:t>
            </w:r>
          </w:p>
        </w:tc>
        <w:tc>
          <w:tcPr>
            <w:tcW w:w="1493" w:type="dxa"/>
          </w:tcPr>
          <w:p w:rsidR="00530EBF" w:rsidRPr="00530EBF" w:rsidRDefault="00530EBF" w:rsidP="00530EBF">
            <w:pPr>
              <w:jc w:val="center"/>
              <w:rPr>
                <w:sz w:val="23"/>
                <w:szCs w:val="23"/>
              </w:rPr>
            </w:pPr>
            <w:r w:rsidRPr="00530EBF">
              <w:rPr>
                <w:sz w:val="23"/>
                <w:szCs w:val="23"/>
              </w:rPr>
              <w:t>2901,33</w:t>
            </w:r>
          </w:p>
        </w:tc>
      </w:tr>
      <w:tr w:rsidR="00EE7BD8" w:rsidRPr="00321618" w:rsidTr="00EE7BD8">
        <w:tc>
          <w:tcPr>
            <w:tcW w:w="751" w:type="dxa"/>
          </w:tcPr>
          <w:p w:rsidR="00EE7BD8" w:rsidRPr="00321618" w:rsidRDefault="00EE7BD8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EE7BD8" w:rsidRPr="00321618" w:rsidRDefault="00EE7BD8" w:rsidP="00EE7BD8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3" w:type="dxa"/>
            <w:gridSpan w:val="4"/>
          </w:tcPr>
          <w:p w:rsidR="00EE7BD8" w:rsidRPr="00321618" w:rsidRDefault="00EE7BD8" w:rsidP="00EE7BD8">
            <w:pPr>
              <w:ind w:left="-24" w:firstLine="24"/>
              <w:rPr>
                <w:b/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530EBF" w:rsidRPr="00321618" w:rsidTr="00530EBF">
        <w:tc>
          <w:tcPr>
            <w:tcW w:w="751" w:type="dxa"/>
          </w:tcPr>
          <w:p w:rsidR="00530EBF" w:rsidRPr="00321618" w:rsidRDefault="00530EBF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32161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0" w:type="dxa"/>
            <w:vMerge/>
          </w:tcPr>
          <w:p w:rsidR="00530EBF" w:rsidRPr="00321618" w:rsidRDefault="00530EBF" w:rsidP="00EE7BD8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530EBF" w:rsidRPr="00321618" w:rsidRDefault="00530EBF" w:rsidP="00EE7BD8">
            <w:pPr>
              <w:pStyle w:val="ac"/>
              <w:ind w:left="-24" w:firstLine="24"/>
              <w:jc w:val="left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30" w:type="dxa"/>
          </w:tcPr>
          <w:p w:rsidR="00530EBF" w:rsidRPr="00321618" w:rsidRDefault="00530EBF" w:rsidP="00EE7BD8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530EBF" w:rsidRPr="00530EBF" w:rsidRDefault="00530EBF" w:rsidP="00530EB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0EBF">
              <w:rPr>
                <w:rFonts w:ascii="Times New Roman" w:hAnsi="Times New Roman" w:cs="Times New Roman"/>
                <w:sz w:val="23"/>
                <w:szCs w:val="23"/>
              </w:rPr>
              <w:t>2811,27</w:t>
            </w:r>
          </w:p>
        </w:tc>
        <w:tc>
          <w:tcPr>
            <w:tcW w:w="1493" w:type="dxa"/>
          </w:tcPr>
          <w:p w:rsidR="00530EBF" w:rsidRPr="00530EBF" w:rsidRDefault="00530EBF" w:rsidP="00530EBF">
            <w:pPr>
              <w:jc w:val="center"/>
              <w:rPr>
                <w:sz w:val="23"/>
                <w:szCs w:val="23"/>
              </w:rPr>
            </w:pPr>
            <w:r w:rsidRPr="00530EBF">
              <w:rPr>
                <w:sz w:val="23"/>
                <w:szCs w:val="23"/>
              </w:rPr>
              <w:t>2901,33</w:t>
            </w:r>
          </w:p>
        </w:tc>
      </w:tr>
    </w:tbl>
    <w:p w:rsidR="00EE7BD8" w:rsidRDefault="00EE7BD8" w:rsidP="00EE7BD8">
      <w:pPr>
        <w:jc w:val="center"/>
        <w:rPr>
          <w:b/>
          <w:szCs w:val="28"/>
        </w:rPr>
      </w:pPr>
    </w:p>
    <w:p w:rsidR="00EE7BD8" w:rsidRPr="00A03BDD" w:rsidRDefault="00EE7BD8" w:rsidP="00EE7BD8">
      <w:pPr>
        <w:jc w:val="center"/>
        <w:rPr>
          <w:b/>
          <w:szCs w:val="28"/>
        </w:rPr>
      </w:pPr>
    </w:p>
    <w:p w:rsidR="00EE7BD8" w:rsidRPr="00A03BDD" w:rsidRDefault="00EE7BD8" w:rsidP="00EE7BD8">
      <w:pPr>
        <w:tabs>
          <w:tab w:val="left" w:pos="1212"/>
        </w:tabs>
        <w:rPr>
          <w:szCs w:val="28"/>
        </w:rPr>
      </w:pPr>
    </w:p>
    <w:p w:rsidR="00AC7144" w:rsidRPr="00EE7BD8" w:rsidRDefault="00AC7144" w:rsidP="00EE7BD8">
      <w:pPr>
        <w:tabs>
          <w:tab w:val="left" w:pos="1616"/>
        </w:tabs>
        <w:rPr>
          <w:sz w:val="20"/>
        </w:rPr>
      </w:pPr>
    </w:p>
    <w:sectPr w:rsidR="00AC7144" w:rsidRPr="00EE7BD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BF" w:rsidRDefault="00530EBF">
      <w:r>
        <w:separator/>
      </w:r>
    </w:p>
  </w:endnote>
  <w:endnote w:type="continuationSeparator" w:id="0">
    <w:p w:rsidR="00530EBF" w:rsidRDefault="0053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BF" w:rsidRDefault="00530EBF">
      <w:r>
        <w:separator/>
      </w:r>
    </w:p>
  </w:footnote>
  <w:footnote w:type="continuationSeparator" w:id="0">
    <w:p w:rsidR="00530EBF" w:rsidRDefault="0053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BF" w:rsidRDefault="0015469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0E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EBF" w:rsidRDefault="00530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BF" w:rsidRDefault="0015469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0E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1CB4">
      <w:rPr>
        <w:rStyle w:val="a9"/>
        <w:noProof/>
      </w:rPr>
      <w:t>3</w:t>
    </w:r>
    <w:r>
      <w:rPr>
        <w:rStyle w:val="a9"/>
      </w:rPr>
      <w:fldChar w:fldCharType="end"/>
    </w:r>
  </w:p>
  <w:p w:rsidR="00530EBF" w:rsidRDefault="00530E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BF" w:rsidRDefault="0015469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530EBF" w:rsidRPr="00E52B15" w:rsidRDefault="00530EB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30EBF" w:rsidRPr="00561114" w:rsidRDefault="00530EB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30EBF" w:rsidRPr="00561114" w:rsidRDefault="00530EB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30EBF" w:rsidRPr="000F7B5C" w:rsidRDefault="00530EB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30EBF" w:rsidRPr="000F7B5C" w:rsidRDefault="00530EB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30EBF" w:rsidRDefault="00530EB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30EBF" w:rsidRDefault="00530EB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30EBF" w:rsidRPr="002B6128" w:rsidRDefault="00530EB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30EBF" w:rsidRDefault="00530EBF" w:rsidP="00276416">
                <w:pPr>
                  <w:ind w:right="-70"/>
                  <w:rPr>
                    <w:sz w:val="20"/>
                  </w:rPr>
                </w:pPr>
              </w:p>
              <w:p w:rsidR="00530EBF" w:rsidRPr="001772E6" w:rsidRDefault="00530EB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30EBF" w:rsidRDefault="00530EB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5Mhm0n6oB17aBCN6mzdQZYhydGo=" w:salt="uGvl2K1Wkw8OeRSDDkZh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2A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697"/>
    <w:rsid w:val="00154CA3"/>
    <w:rsid w:val="00155407"/>
    <w:rsid w:val="00155782"/>
    <w:rsid w:val="00155AB6"/>
    <w:rsid w:val="00156185"/>
    <w:rsid w:val="001565BE"/>
    <w:rsid w:val="00156FD2"/>
    <w:rsid w:val="00160550"/>
    <w:rsid w:val="00160A5A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445"/>
    <w:rsid w:val="00187A71"/>
    <w:rsid w:val="00187AD6"/>
    <w:rsid w:val="00187E73"/>
    <w:rsid w:val="001901A9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815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299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0FF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0EBF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1B1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0ED2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3F"/>
    <w:rsid w:val="00780053"/>
    <w:rsid w:val="00781263"/>
    <w:rsid w:val="00781C6A"/>
    <w:rsid w:val="007821A1"/>
    <w:rsid w:val="00783E38"/>
    <w:rsid w:val="007844F2"/>
    <w:rsid w:val="007849FA"/>
    <w:rsid w:val="007858D6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B3C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BCD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6E7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1CB4"/>
    <w:rsid w:val="00992183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3E0C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CD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144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2FA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59C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38C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A7D33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3DF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3CE1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BD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9F3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A24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14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438C"/>
    <w:rPr>
      <w:rFonts w:cs="Times New Roman"/>
      <w:sz w:val="28"/>
    </w:rPr>
  </w:style>
  <w:style w:type="character" w:styleId="a7">
    <w:name w:val="Hyperlink"/>
    <w:basedOn w:val="a0"/>
    <w:uiPriority w:val="99"/>
    <w:rsid w:val="00C7438C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438C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C714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C7144"/>
    <w:rPr>
      <w:rFonts w:cs="Times New Roman"/>
      <w:sz w:val="28"/>
      <w:szCs w:val="28"/>
    </w:rPr>
  </w:style>
  <w:style w:type="paragraph" w:styleId="ae">
    <w:name w:val="No Spacing"/>
    <w:uiPriority w:val="1"/>
    <w:qFormat/>
    <w:rsid w:val="00AC7144"/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C21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C7B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214D89D324DC5548A875CE51892C6915C11BD03B688D145cDb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35</TotalTime>
  <Pages>3</Pages>
  <Words>405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5</cp:revision>
  <cp:lastPrinted>2017-02-28T09:15:00Z</cp:lastPrinted>
  <dcterms:created xsi:type="dcterms:W3CDTF">2017-02-15T07:54:00Z</dcterms:created>
  <dcterms:modified xsi:type="dcterms:W3CDTF">2017-02-28T09:24:00Z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